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3D6698" w:rsidRPr="00A26FF7" w:rsidTr="00277D32">
        <w:tc>
          <w:tcPr>
            <w:tcW w:w="9606" w:type="dxa"/>
            <w:gridSpan w:val="4"/>
          </w:tcPr>
          <w:p w:rsidR="003D6698" w:rsidRPr="00E8616E" w:rsidRDefault="002E301B" w:rsidP="00277D32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9620" cy="58674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698" w:rsidRPr="00A26FF7" w:rsidTr="00277D32">
        <w:tc>
          <w:tcPr>
            <w:tcW w:w="9606" w:type="dxa"/>
            <w:gridSpan w:val="4"/>
          </w:tcPr>
          <w:p w:rsidR="003D6698" w:rsidRPr="00E8616E" w:rsidRDefault="003D6698" w:rsidP="00277D32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3D6698" w:rsidRPr="00FE54B1" w:rsidTr="00277D32">
        <w:tc>
          <w:tcPr>
            <w:tcW w:w="1668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 (бакалавр</w:t>
            </w:r>
            <w:r w:rsidRPr="00E8616E">
              <w:rPr>
                <w:sz w:val="22"/>
                <w:szCs w:val="22"/>
                <w:lang w:val="uk-UA"/>
              </w:rPr>
              <w:t>)</w:t>
            </w:r>
          </w:p>
        </w:tc>
      </w:tr>
      <w:tr w:rsidR="003D6698" w:rsidRPr="00FE54B1" w:rsidTr="00277D32">
        <w:tc>
          <w:tcPr>
            <w:tcW w:w="1668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D6698" w:rsidRPr="00FE54B1" w:rsidTr="00277D32">
        <w:tc>
          <w:tcPr>
            <w:tcW w:w="1668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Фахова</w:t>
            </w:r>
          </w:p>
        </w:tc>
      </w:tr>
      <w:tr w:rsidR="003D6698" w:rsidRPr="00FE54B1" w:rsidTr="00277D32">
        <w:tc>
          <w:tcPr>
            <w:tcW w:w="1668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698" w:rsidRPr="00E8616E" w:rsidRDefault="003D6698" w:rsidP="00277D32">
            <w:pPr>
              <w:rPr>
                <w:sz w:val="20"/>
                <w:szCs w:val="20"/>
                <w:lang w:val="uk-UA"/>
              </w:rPr>
            </w:pPr>
            <w:r w:rsidRPr="00760E20">
              <w:t>023 «Образотворче мистецтво, декоративне мистецтво, реставрація»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3D6698" w:rsidRPr="00E8616E" w:rsidRDefault="003D6698" w:rsidP="00277D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</w:tr>
      <w:tr w:rsidR="003D6698" w:rsidRPr="00FE54B1" w:rsidTr="00277D32">
        <w:tc>
          <w:tcPr>
            <w:tcW w:w="9606" w:type="dxa"/>
            <w:gridSpan w:val="4"/>
          </w:tcPr>
          <w:p w:rsidR="003D6698" w:rsidRPr="004455C8" w:rsidRDefault="002E301B" w:rsidP="00277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КОП</w:t>
            </w:r>
            <w:r>
              <w:rPr>
                <w:b/>
                <w:sz w:val="28"/>
                <w:szCs w:val="28"/>
                <w:lang w:val="uk-UA"/>
              </w:rPr>
              <w:t>ІЮВАННЯ</w:t>
            </w:r>
          </w:p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Семестр </w:t>
            </w:r>
            <w:r>
              <w:rPr>
                <w:sz w:val="22"/>
                <w:szCs w:val="22"/>
                <w:lang w:val="uk-UA"/>
              </w:rPr>
              <w:t>3</w:t>
            </w:r>
            <w:r w:rsidRPr="00E8616E">
              <w:rPr>
                <w:lang w:val="uk-UA"/>
              </w:rPr>
              <w:t xml:space="preserve"> 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rPr>
                <w:lang w:val="uk-UA"/>
              </w:rPr>
              <w:t>Хоменко Катерина Олександрівна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3D6698" w:rsidRPr="004455C8" w:rsidRDefault="003D6698" w:rsidP="00277D32">
            <w:pPr>
              <w:rPr>
                <w:lang w:val="en-US"/>
              </w:rPr>
            </w:pPr>
            <w:r>
              <w:rPr>
                <w:rStyle w:val="a3"/>
              </w:rPr>
              <w:t>khomenkoko@gmail.com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t>Середа</w:t>
            </w:r>
            <w:r w:rsidRPr="00E8616E">
              <w:rPr>
                <w:lang w:val="uk-UA"/>
              </w:rPr>
              <w:t xml:space="preserve"> </w:t>
            </w:r>
            <w:r>
              <w:rPr>
                <w:lang w:val="uk-UA"/>
              </w:rPr>
              <w:t>9:</w:t>
            </w:r>
            <w:r w:rsidRPr="00E8616E">
              <w:rPr>
                <w:lang w:val="uk-UA"/>
              </w:rPr>
              <w:t>00–</w:t>
            </w:r>
            <w:r>
              <w:rPr>
                <w:lang w:val="uk-UA"/>
              </w:rPr>
              <w:t>12:20</w:t>
            </w:r>
            <w:r w:rsidRPr="00E8616E">
              <w:rPr>
                <w:lang w:val="uk-UA"/>
              </w:rPr>
              <w:t xml:space="preserve">, ауд. </w:t>
            </w:r>
            <w:r w:rsidRPr="00FE54B1">
              <w:t>40</w:t>
            </w:r>
            <w:r>
              <w:rPr>
                <w:lang w:val="uk-UA"/>
              </w:rPr>
              <w:t>5</w:t>
            </w:r>
            <w:r w:rsidRPr="00E8616E">
              <w:rPr>
                <w:lang w:val="uk-UA"/>
              </w:rPr>
              <w:t xml:space="preserve"> (3 корпус)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3D6698" w:rsidRPr="00E8616E" w:rsidRDefault="003D6698" w:rsidP="00277D32">
            <w:pPr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E8616E">
              <w:rPr>
                <w:lang w:val="uk-UA"/>
              </w:rPr>
              <w:t xml:space="preserve"> 12</w:t>
            </w:r>
            <w:r>
              <w:rPr>
                <w:lang w:val="uk-UA"/>
              </w:rPr>
              <w:t>:2</w:t>
            </w:r>
            <w:r w:rsidRPr="00E8616E">
              <w:rPr>
                <w:lang w:val="uk-UA"/>
              </w:rPr>
              <w:t xml:space="preserve">0–13.00 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3D6698" w:rsidRPr="00E8616E" w:rsidRDefault="003D6698" w:rsidP="00277D32">
            <w:pPr>
              <w:tabs>
                <w:tab w:val="right" w:pos="7439"/>
              </w:tabs>
              <w:rPr>
                <w:lang w:val="uk-UA"/>
              </w:rPr>
            </w:pPr>
            <w:r w:rsidRPr="00E8616E">
              <w:rPr>
                <w:lang w:val="uk-UA"/>
              </w:rPr>
              <w:t>к. 407, поверх 4, корпус 3, вул. Мистецтв 11</w:t>
            </w:r>
          </w:p>
        </w:tc>
      </w:tr>
      <w:tr w:rsidR="003D6698" w:rsidRPr="00FE54B1" w:rsidTr="00277D32">
        <w:tc>
          <w:tcPr>
            <w:tcW w:w="1668" w:type="dxa"/>
          </w:tcPr>
          <w:p w:rsidR="003D6698" w:rsidRPr="00E8616E" w:rsidRDefault="003D6698" w:rsidP="00277D32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3D6698" w:rsidRPr="00E8616E" w:rsidRDefault="003D6698" w:rsidP="00277D32">
            <w:pPr>
              <w:tabs>
                <w:tab w:val="right" w:pos="7439"/>
              </w:tabs>
              <w:rPr>
                <w:lang w:val="en-US"/>
              </w:rPr>
            </w:pPr>
            <w:r w:rsidRPr="00FE54B1">
              <w:t>05</w:t>
            </w:r>
            <w:r w:rsidRPr="00E8616E">
              <w:rPr>
                <w:lang w:val="en-US"/>
              </w:rPr>
              <w:t>7 706-</w:t>
            </w:r>
            <w:r w:rsidRPr="00E8616E">
              <w:rPr>
                <w:lang w:val="uk-UA"/>
              </w:rPr>
              <w:t>03</w:t>
            </w:r>
            <w:r w:rsidRPr="00E8616E">
              <w:rPr>
                <w:lang w:val="en-US"/>
              </w:rPr>
              <w:t>-</w:t>
            </w:r>
            <w:r w:rsidRPr="00E8616E">
              <w:rPr>
                <w:lang w:val="uk-UA"/>
              </w:rPr>
              <w:t>50 (кафедра)</w:t>
            </w:r>
            <w:r>
              <w:rPr>
                <w:lang w:val="uk-UA"/>
              </w:rPr>
              <w:t xml:space="preserve"> </w:t>
            </w:r>
            <w:r w:rsidRPr="00E8616E">
              <w:rPr>
                <w:lang w:val="en-US"/>
              </w:rPr>
              <w:tab/>
            </w:r>
          </w:p>
        </w:tc>
      </w:tr>
    </w:tbl>
    <w:p w:rsidR="003D6698" w:rsidRPr="00FE54B1" w:rsidRDefault="003D6698" w:rsidP="004455C8">
      <w:pPr>
        <w:spacing w:after="120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3D6698" w:rsidRPr="00FE54B1" w:rsidRDefault="003D6698" w:rsidP="004455C8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 дисципліни (скорочено — СПРтЕТМ);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3D6698" w:rsidRPr="00FE54B1" w:rsidRDefault="003D6698" w:rsidP="004455C8">
      <w:pPr>
        <w:spacing w:line="276" w:lineRule="auto"/>
        <w:rPr>
          <w:lang w:val="uk-UA"/>
        </w:rPr>
      </w:pPr>
      <w:r w:rsidRPr="00FE54B1">
        <w:rPr>
          <w:lang w:val="uk-UA"/>
        </w:rPr>
        <w:t>Дисципліна має обов’язков</w:t>
      </w:r>
      <w:r>
        <w:rPr>
          <w:lang w:val="uk-UA"/>
        </w:rPr>
        <w:t>і</w:t>
      </w:r>
      <w:r w:rsidRPr="00FE54B1">
        <w:rPr>
          <w:lang w:val="uk-UA"/>
        </w:rPr>
        <w:t xml:space="preserve"> передумов</w:t>
      </w:r>
      <w:r>
        <w:rPr>
          <w:lang w:val="uk-UA"/>
        </w:rPr>
        <w:t>и</w:t>
      </w:r>
      <w:r w:rsidRPr="00FE54B1">
        <w:rPr>
          <w:lang w:val="uk-UA"/>
        </w:rPr>
        <w:t xml:space="preserve"> для вивчення. </w:t>
      </w:r>
    </w:p>
    <w:p w:rsidR="003D6698" w:rsidRPr="00FE54B1" w:rsidRDefault="003D6698" w:rsidP="004455C8">
      <w:pPr>
        <w:spacing w:line="276" w:lineRule="auto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3D6698" w:rsidRDefault="003D6698" w:rsidP="00263B2B">
      <w:pPr>
        <w:jc w:val="both"/>
      </w:pPr>
      <w:r>
        <w:rPr>
          <w:lang w:val="uk-UA"/>
        </w:rPr>
        <w:t>1</w:t>
      </w:r>
      <w:r>
        <w:t xml:space="preserve">. Виннер А. Как пользоваться темперой. / А.В, Виннер. – М.: Искусство, 1951. </w:t>
      </w:r>
    </w:p>
    <w:p w:rsidR="003D6698" w:rsidRDefault="003D6698" w:rsidP="00263B2B">
      <w:pPr>
        <w:spacing w:line="276" w:lineRule="auto"/>
      </w:pPr>
      <w:r>
        <w:rPr>
          <w:lang w:val="uk-UA"/>
        </w:rPr>
        <w:t>2</w:t>
      </w:r>
      <w:r>
        <w:t>. Виннер А. Фресковая и темперная живопись. Вып. 3. Материалы и техника станковой</w:t>
      </w:r>
    </w:p>
    <w:p w:rsidR="003D6698" w:rsidRPr="004455C8" w:rsidRDefault="003D6698" w:rsidP="00263B2B">
      <w:pPr>
        <w:spacing w:line="276" w:lineRule="auto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3D6698" w:rsidRPr="00FE54B1" w:rsidRDefault="003D6698" w:rsidP="004455C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Блокнот для конспекту, ручка. Комп’ютерна техніка (ноутбук, планшет тощо) з можливістю виходу до мережі Інтернет.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Дерев’яна дошка, глютиновий клей, крейда, олівці, гравер, складові емульсії (вино, яйце), фарбові пігменти відповідних кольорів, пензлі розмірів 10,6,1.</w:t>
      </w:r>
    </w:p>
    <w:p w:rsidR="003D6698" w:rsidRPr="00FE54B1" w:rsidRDefault="003D6698" w:rsidP="004455C8">
      <w:pPr>
        <w:spacing w:line="276" w:lineRule="auto"/>
        <w:jc w:val="both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МЕТА Й ЗАВДАННЯ КУРСУ</w:t>
      </w:r>
    </w:p>
    <w:p w:rsidR="003D6698" w:rsidRDefault="003D6698" w:rsidP="004455C8">
      <w:pPr>
        <w:spacing w:line="276" w:lineRule="auto"/>
        <w:rPr>
          <w:bCs/>
          <w:lang w:val="uk-UA"/>
        </w:rPr>
      </w:pPr>
      <w:r w:rsidRPr="0010529D">
        <w:rPr>
          <w:lang w:val="uk-UA"/>
        </w:rPr>
        <w:lastRenderedPageBreak/>
        <w:t xml:space="preserve">Метою вивчення дисципліни </w:t>
      </w:r>
      <w:r w:rsidRPr="0010529D">
        <w:rPr>
          <w:b/>
          <w:lang w:val="uk-UA"/>
        </w:rPr>
        <w:t>«</w:t>
      </w:r>
      <w:r>
        <w:rPr>
          <w:b/>
          <w:lang w:val="uk-UA"/>
        </w:rPr>
        <w:t>Копіювання»</w:t>
      </w:r>
      <w:r w:rsidRPr="0010529D">
        <w:rPr>
          <w:b/>
          <w:lang w:val="uk-UA"/>
        </w:rPr>
        <w:t xml:space="preserve"> </w:t>
      </w:r>
      <w:r w:rsidRPr="0010529D">
        <w:rPr>
          <w:bCs/>
          <w:lang w:val="uk-UA"/>
        </w:rPr>
        <w:t xml:space="preserve">є: </w:t>
      </w:r>
    </w:p>
    <w:p w:rsidR="003D6698" w:rsidRDefault="003D6698" w:rsidP="0010529D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аналізом композиції ікон</w:t>
      </w:r>
    </w:p>
    <w:p w:rsidR="003D6698" w:rsidRDefault="003D6698" w:rsidP="0010529D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виконання графічного бачення рисунку оплічної ікони</w:t>
      </w:r>
    </w:p>
    <w:p w:rsidR="003D6698" w:rsidRPr="0010529D" w:rsidRDefault="003D6698" w:rsidP="0010529D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техніками золотіння</w:t>
      </w:r>
    </w:p>
    <w:p w:rsidR="003D6698" w:rsidRPr="006D3566" w:rsidRDefault="003D6698" w:rsidP="004455C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6D3566">
        <w:rPr>
          <w:bCs/>
        </w:rPr>
        <w:t xml:space="preserve">оволодіння </w:t>
      </w:r>
      <w:r>
        <w:rPr>
          <w:bCs/>
          <w:lang w:val="uk-UA"/>
        </w:rPr>
        <w:t>старовинними та сучасними</w:t>
      </w:r>
      <w:r w:rsidRPr="006D3566">
        <w:rPr>
          <w:bCs/>
        </w:rPr>
        <w:t xml:space="preserve"> методами </w:t>
      </w:r>
      <w:r>
        <w:rPr>
          <w:bCs/>
          <w:lang w:val="uk-UA"/>
        </w:rPr>
        <w:t>написання ікони</w:t>
      </w:r>
    </w:p>
    <w:p w:rsidR="003D6698" w:rsidRPr="00281FC8" w:rsidRDefault="003D6698" w:rsidP="004455C8">
      <w:pPr>
        <w:spacing w:line="276" w:lineRule="auto"/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3D6698" w:rsidRPr="006D3566" w:rsidRDefault="003D6698" w:rsidP="004455C8">
      <w:pPr>
        <w:pStyle w:val="a6"/>
        <w:tabs>
          <w:tab w:val="left" w:pos="708"/>
        </w:tabs>
        <w:jc w:val="both"/>
      </w:pPr>
      <w:r w:rsidRPr="00DA6338">
        <w:t xml:space="preserve">На вивчення навчальної дисципліни відводиться </w:t>
      </w:r>
      <w:r>
        <w:rPr>
          <w:lang w:val="uk-UA"/>
        </w:rPr>
        <w:t>90</w:t>
      </w:r>
      <w:r>
        <w:t xml:space="preserve"> годин / </w:t>
      </w:r>
      <w:r>
        <w:rPr>
          <w:lang w:val="uk-UA"/>
        </w:rPr>
        <w:t>3</w:t>
      </w:r>
      <w:r w:rsidRPr="004F64B4">
        <w:rPr>
          <w:color w:val="FF0000"/>
        </w:rPr>
        <w:t xml:space="preserve"> </w:t>
      </w:r>
      <w:r w:rsidRPr="00DA6338">
        <w:t>кредит</w:t>
      </w:r>
      <w:r>
        <w:rPr>
          <w:lang w:val="uk-UA"/>
        </w:rPr>
        <w:t>и</w:t>
      </w:r>
      <w:r w:rsidRPr="00DA6338">
        <w:t xml:space="preserve"> ECTS</w:t>
      </w:r>
      <w:r>
        <w:t xml:space="preserve"> у </w:t>
      </w:r>
      <w:r w:rsidRPr="004F64B4">
        <w:t>3</w:t>
      </w:r>
      <w:r w:rsidRPr="002E3633">
        <w:t xml:space="preserve"> семест</w:t>
      </w:r>
      <w:r>
        <w:rPr>
          <w:lang w:val="uk-UA"/>
        </w:rPr>
        <w:t>рі</w:t>
      </w:r>
      <w:r>
        <w:t>.</w:t>
      </w:r>
      <w:r w:rsidRPr="001F22A9">
        <w:t xml:space="preserve"> </w:t>
      </w:r>
      <w:r w:rsidRPr="006D3566">
        <w:t xml:space="preserve">Навчальна дисципліна </w:t>
      </w:r>
      <w:r w:rsidRPr="006D3566">
        <w:rPr>
          <w:b/>
        </w:rPr>
        <w:t>«</w:t>
      </w:r>
      <w:r>
        <w:rPr>
          <w:b/>
          <w:lang w:val="uk-UA"/>
        </w:rPr>
        <w:t>Копіювання»</w:t>
      </w:r>
      <w:r w:rsidRPr="006D3566">
        <w:rPr>
          <w:b/>
        </w:rPr>
        <w:t xml:space="preserve"> </w:t>
      </w:r>
      <w:r w:rsidRPr="006D3566">
        <w:t xml:space="preserve">складається з </w:t>
      </w:r>
      <w:r>
        <w:rPr>
          <w:lang w:val="uk-UA"/>
        </w:rPr>
        <w:t>2</w:t>
      </w:r>
      <w:r w:rsidRPr="006D3566">
        <w:t xml:space="preserve"> модулів, які </w:t>
      </w:r>
      <w:r w:rsidRPr="00956652">
        <w:t xml:space="preserve">містять </w:t>
      </w:r>
      <w:r w:rsidRPr="00956652">
        <w:rPr>
          <w:lang w:val="uk-UA"/>
        </w:rPr>
        <w:t>8</w:t>
      </w:r>
      <w:r w:rsidRPr="00956652">
        <w:t xml:space="preserve"> </w:t>
      </w:r>
      <w:r w:rsidRPr="006D3566">
        <w:t>завдань, які зв’язані між собою змістовими складовими.</w:t>
      </w:r>
    </w:p>
    <w:p w:rsidR="003D6698" w:rsidRDefault="003D6698" w:rsidP="004455C8">
      <w:pPr>
        <w:pStyle w:val="a4"/>
        <w:spacing w:line="276" w:lineRule="auto"/>
        <w:ind w:left="0"/>
        <w:rPr>
          <w:b/>
          <w:bCs/>
          <w:sz w:val="24"/>
          <w:szCs w:val="24"/>
        </w:rPr>
      </w:pPr>
    </w:p>
    <w:p w:rsidR="003D6698" w:rsidRPr="00C41494" w:rsidRDefault="003D6698" w:rsidP="004455C8">
      <w:pPr>
        <w:pStyle w:val="a6"/>
        <w:tabs>
          <w:tab w:val="left" w:pos="708"/>
        </w:tabs>
        <w:ind w:firstLine="709"/>
        <w:rPr>
          <w:b/>
        </w:rPr>
      </w:pPr>
      <w:r w:rsidRPr="00C41494">
        <w:rPr>
          <w:b/>
          <w:sz w:val="28"/>
          <w:szCs w:val="28"/>
        </w:rPr>
        <w:t>2 курс</w:t>
      </w:r>
      <w:r>
        <w:rPr>
          <w:b/>
        </w:rPr>
        <w:t xml:space="preserve">. </w:t>
      </w:r>
      <w:r>
        <w:rPr>
          <w:b/>
          <w:lang w:val="uk-UA"/>
        </w:rPr>
        <w:t>3</w:t>
      </w:r>
      <w:r w:rsidRPr="00C41494">
        <w:rPr>
          <w:b/>
        </w:rPr>
        <w:t xml:space="preserve"> семестр. </w:t>
      </w:r>
      <w:r>
        <w:rPr>
          <w:bCs/>
          <w:lang w:val="uk-UA"/>
        </w:rPr>
        <w:t>Копіювання оплічної ікони</w:t>
      </w:r>
      <w:r w:rsidRPr="00C41494">
        <w:t xml:space="preserve"> </w:t>
      </w:r>
    </w:p>
    <w:p w:rsidR="003D6698" w:rsidRPr="00C41494" w:rsidRDefault="003D6698" w:rsidP="004455C8">
      <w:pPr>
        <w:pStyle w:val="a6"/>
        <w:tabs>
          <w:tab w:val="left" w:pos="708"/>
        </w:tabs>
        <w:ind w:firstLine="709"/>
        <w:rPr>
          <w:b/>
        </w:rPr>
      </w:pPr>
      <w:r w:rsidRPr="00C41494">
        <w:rPr>
          <w:b/>
        </w:rPr>
        <w:t>Розділ 1</w:t>
      </w:r>
      <w:r w:rsidRPr="00C41494">
        <w:t>.</w:t>
      </w:r>
    </w:p>
    <w:p w:rsidR="003D6698" w:rsidRPr="0010529D" w:rsidRDefault="003D6698" w:rsidP="0010529D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1. </w:t>
      </w:r>
      <w:r>
        <w:rPr>
          <w:lang w:val="uk-UA"/>
        </w:rPr>
        <w:t>Виконанння аналізу композиції та графічного рисунку ікони</w:t>
      </w:r>
    </w:p>
    <w:p w:rsidR="003D6698" w:rsidRPr="0010529D" w:rsidRDefault="003D6698" w:rsidP="004455C8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2. </w:t>
      </w:r>
      <w:r>
        <w:rPr>
          <w:bCs/>
          <w:lang w:val="uk-UA"/>
        </w:rPr>
        <w:t>Підготовка левкасу</w:t>
      </w:r>
    </w:p>
    <w:p w:rsidR="003D6698" w:rsidRDefault="003D6698" w:rsidP="004455C8">
      <w:pPr>
        <w:pStyle w:val="a6"/>
        <w:tabs>
          <w:tab w:val="left" w:pos="708"/>
        </w:tabs>
        <w:ind w:firstLine="709"/>
      </w:pPr>
      <w:r w:rsidRPr="00C41494">
        <w:t xml:space="preserve">Завдання 3. </w:t>
      </w:r>
      <w:r>
        <w:rPr>
          <w:bCs/>
          <w:lang w:val="uk-UA"/>
        </w:rPr>
        <w:t>Перенесення рисунку на левкас</w:t>
      </w:r>
      <w:r w:rsidRPr="00C41494">
        <w:t xml:space="preserve"> </w:t>
      </w:r>
    </w:p>
    <w:p w:rsidR="003D6698" w:rsidRPr="0010529D" w:rsidRDefault="003D6698" w:rsidP="0010529D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4.   </w:t>
      </w:r>
      <w:r>
        <w:rPr>
          <w:lang w:val="uk-UA"/>
        </w:rPr>
        <w:t>Розкриття основних кольорів</w:t>
      </w:r>
    </w:p>
    <w:p w:rsidR="003D6698" w:rsidRPr="00C41494" w:rsidRDefault="003D6698" w:rsidP="004455C8">
      <w:pPr>
        <w:pStyle w:val="a6"/>
        <w:tabs>
          <w:tab w:val="left" w:pos="708"/>
        </w:tabs>
        <w:ind w:firstLine="709"/>
      </w:pPr>
      <w:r w:rsidRPr="00C41494">
        <w:rPr>
          <w:b/>
        </w:rPr>
        <w:t>Розділ 2.</w:t>
      </w:r>
    </w:p>
    <w:p w:rsidR="003D6698" w:rsidRPr="0010529D" w:rsidRDefault="003D6698" w:rsidP="004455C8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1. </w:t>
      </w:r>
      <w:r>
        <w:rPr>
          <w:lang w:val="uk-UA"/>
        </w:rPr>
        <w:t>Виконання личного письма</w:t>
      </w:r>
    </w:p>
    <w:p w:rsidR="003D6698" w:rsidRPr="0010529D" w:rsidRDefault="003D6698" w:rsidP="0010529D">
      <w:pPr>
        <w:ind w:firstLine="709"/>
        <w:rPr>
          <w:bCs/>
          <w:lang w:val="uk-UA"/>
        </w:rPr>
      </w:pPr>
      <w:r w:rsidRPr="00C41494">
        <w:t xml:space="preserve">Завдання 2. </w:t>
      </w:r>
      <w:r>
        <w:rPr>
          <w:bCs/>
          <w:lang w:val="uk-UA"/>
        </w:rPr>
        <w:t>Виконання розділки одягу</w:t>
      </w:r>
    </w:p>
    <w:p w:rsidR="003D6698" w:rsidRPr="0010529D" w:rsidRDefault="003D6698" w:rsidP="004455C8">
      <w:pPr>
        <w:ind w:firstLine="709"/>
        <w:rPr>
          <w:bCs/>
          <w:lang w:val="uk-UA"/>
        </w:rPr>
      </w:pPr>
      <w:r w:rsidRPr="00C41494">
        <w:t xml:space="preserve">Завдання 3. </w:t>
      </w:r>
      <w:r>
        <w:rPr>
          <w:bCs/>
          <w:lang w:val="uk-UA"/>
        </w:rPr>
        <w:t>Написання ікони</w:t>
      </w:r>
    </w:p>
    <w:p w:rsidR="003D6698" w:rsidRPr="0010529D" w:rsidRDefault="003D6698" w:rsidP="004455C8">
      <w:pPr>
        <w:ind w:firstLine="709"/>
        <w:rPr>
          <w:lang w:val="uk-UA"/>
        </w:rPr>
      </w:pPr>
      <w:r>
        <w:rPr>
          <w:bCs/>
          <w:lang w:val="uk-UA"/>
        </w:rPr>
        <w:t>Завдання 4. Покриття ікони лаком</w:t>
      </w: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3D6698" w:rsidRPr="00263B2B" w:rsidRDefault="003D6698" w:rsidP="004455C8">
      <w:pPr>
        <w:ind w:firstLine="709"/>
        <w:jc w:val="both"/>
        <w:rPr>
          <w:lang w:val="uk-UA"/>
        </w:rPr>
      </w:pPr>
      <w:r w:rsidRPr="00DA6338">
        <w:t>Під час освоєння студентами дисципліни «</w:t>
      </w:r>
      <w:r>
        <w:rPr>
          <w:lang w:val="uk-UA"/>
        </w:rPr>
        <w:t>Копіювання</w:t>
      </w:r>
      <w:r w:rsidRPr="00DA6338">
        <w:t>» оволодіння знаннями здійснюється з урахуванням вимог щодо навчального процесу.</w:t>
      </w:r>
      <w:r w:rsidRPr="00DA6338">
        <w:rPr>
          <w:lang w:eastAsia="ar-SA"/>
        </w:rPr>
        <w:t xml:space="preserve"> </w:t>
      </w:r>
      <w:r w:rsidRPr="00DA6338">
        <w:t xml:space="preserve">Програмою передбачено отримання, закріплення знань і умінь, та розвиток навичок, що стосуються </w:t>
      </w:r>
      <w:r>
        <w:rPr>
          <w:lang w:val="uk-UA"/>
        </w:rPr>
        <w:t xml:space="preserve">іконопису. </w:t>
      </w:r>
      <w:r w:rsidRPr="00263B2B">
        <w:rPr>
          <w:lang w:val="uk-UA"/>
        </w:rPr>
        <w:t>На цьому етапі навчання студент не тільки отримує теоретичну та практичну базу знань, але і навчається безпосередньо застосовувати її механізми у практичній реставрації</w:t>
      </w:r>
      <w:r>
        <w:rPr>
          <w:lang w:val="uk-UA"/>
        </w:rPr>
        <w:t xml:space="preserve"> та іконописі.</w:t>
      </w:r>
    </w:p>
    <w:p w:rsidR="003D6698" w:rsidRPr="00263B2B" w:rsidRDefault="003D6698" w:rsidP="004455C8">
      <w:pPr>
        <w:pStyle w:val="a4"/>
        <w:spacing w:line="276" w:lineRule="auto"/>
        <w:ind w:left="0" w:firstLine="709"/>
        <w:rPr>
          <w:sz w:val="24"/>
          <w:szCs w:val="24"/>
          <w:lang w:val="uk-UA"/>
        </w:rPr>
      </w:pPr>
    </w:p>
    <w:p w:rsidR="003D6698" w:rsidRDefault="003D6698" w:rsidP="004455C8">
      <w:pPr>
        <w:spacing w:after="120" w:line="276" w:lineRule="auto"/>
        <w:ind w:firstLine="709"/>
        <w:jc w:val="both"/>
        <w:rPr>
          <w:b/>
          <w:lang w:val="uk-UA"/>
        </w:rPr>
      </w:pPr>
    </w:p>
    <w:p w:rsidR="003D6698" w:rsidRPr="00FE54B1" w:rsidRDefault="003D6698" w:rsidP="004455C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3D6698" w:rsidRPr="006D3566" w:rsidRDefault="003D6698" w:rsidP="004455C8">
      <w:pPr>
        <w:pStyle w:val="a6"/>
        <w:tabs>
          <w:tab w:val="left" w:pos="708"/>
        </w:tabs>
        <w:rPr>
          <w:b/>
        </w:rPr>
      </w:pPr>
      <w:r w:rsidRPr="006D3566">
        <w:rPr>
          <w:b/>
        </w:rPr>
        <w:t xml:space="preserve">Підсумковий контроль </w:t>
      </w:r>
      <w:r w:rsidRPr="006D3566">
        <w:rPr>
          <w:bCs/>
        </w:rPr>
        <w:t xml:space="preserve">засвоєння знань здійснюється у формі </w:t>
      </w:r>
      <w:r w:rsidRPr="006D3566">
        <w:rPr>
          <w:i/>
        </w:rPr>
        <w:t>екзаменаційного перегляду</w:t>
      </w:r>
      <w:r w:rsidRPr="006D3566">
        <w:t xml:space="preserve">. Передбачено рубіжні етапи контролю у формі поточних </w:t>
      </w:r>
      <w:r>
        <w:t xml:space="preserve">модульних </w:t>
      </w:r>
      <w:r w:rsidRPr="006D3566">
        <w:t>переглядів.</w:t>
      </w:r>
    </w:p>
    <w:p w:rsidR="003D6698" w:rsidRPr="00FE54B1" w:rsidRDefault="003D6698" w:rsidP="004455C8">
      <w:pPr>
        <w:spacing w:line="276" w:lineRule="auto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D6698" w:rsidRPr="00FE54B1" w:rsidTr="00277D32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D6698" w:rsidRPr="00FE54B1" w:rsidTr="00277D32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3D6698" w:rsidRPr="00FE54B1" w:rsidTr="00277D32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3D6698" w:rsidRPr="00FE54B1" w:rsidTr="00277D32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3D6698" w:rsidRPr="00FE54B1" w:rsidTr="00277D32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3D6698" w:rsidRPr="00FE54B1" w:rsidTr="00277D32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</w:tr>
    </w:tbl>
    <w:p w:rsidR="003D6698" w:rsidRPr="00FE54B1" w:rsidRDefault="003D6698" w:rsidP="004455C8">
      <w:pPr>
        <w:spacing w:after="120" w:line="276" w:lineRule="auto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3D6698" w:rsidRPr="00FE54B1" w:rsidRDefault="003D6698" w:rsidP="004455C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lastRenderedPageBreak/>
        <w:t xml:space="preserve">Під час занять необхідно вимкнути звук мобільних телефонів як </w:t>
      </w:r>
      <w:r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має спитати дозволу вийти з аудиторії (окрім заліку). </w:t>
      </w:r>
    </w:p>
    <w:p w:rsidR="003D6698" w:rsidRPr="00FE54B1" w:rsidRDefault="003D6698" w:rsidP="004455C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3D6698" w:rsidRPr="00FE54B1" w:rsidRDefault="003D6698" w:rsidP="004455C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>
        <w:rPr>
          <w:lang w:val="uk-UA"/>
        </w:rPr>
        <w:t>зі студентами</w:t>
      </w:r>
      <w:r w:rsidRPr="00FE54B1">
        <w:rPr>
          <w:lang w:val="uk-UA"/>
        </w:rPr>
        <w:t>.</w:t>
      </w:r>
    </w:p>
    <w:p w:rsidR="003D6698" w:rsidRPr="00FE54B1" w:rsidRDefault="003D6698" w:rsidP="004455C8">
      <w:pPr>
        <w:spacing w:line="276" w:lineRule="auto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3D6698" w:rsidRPr="00FE54B1" w:rsidRDefault="003D6698" w:rsidP="004455C8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3D6698" w:rsidRDefault="003D6698" w:rsidP="004455C8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Студенти</w:t>
      </w:r>
      <w:r w:rsidRPr="00FE54B1">
        <w:rPr>
          <w:lang w:val="uk-UA"/>
        </w:rPr>
        <w:t xml:space="preserve"> зобов’язані дотримуватися правил академічної доброчесності (у своїх доповідях, статтях, при складанні  екзаменів тощо). Жодні форми порушення академічної доброчесності не толеруються. </w:t>
      </w:r>
    </w:p>
    <w:p w:rsidR="003D6698" w:rsidRPr="00FE54B1" w:rsidRDefault="003D6698" w:rsidP="004455C8">
      <w:pPr>
        <w:spacing w:line="276" w:lineRule="auto"/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3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3D6698" w:rsidRPr="00FE54B1" w:rsidRDefault="00F45EFA" w:rsidP="004455C8">
      <w:pPr>
        <w:spacing w:line="276" w:lineRule="auto"/>
        <w:rPr>
          <w:lang w:val="uk-UA"/>
        </w:rPr>
      </w:pPr>
      <w:hyperlink r:id="rId9" w:history="1">
        <w:r w:rsidR="003D6698" w:rsidRPr="00FE54B1">
          <w:rPr>
            <w:rStyle w:val="a3"/>
            <w:lang w:val="uk-UA"/>
          </w:rPr>
          <w:t>https://saiup.org.ua/novyny/akademichna-dobrochesnist-shho-v-uchniv-ta-studentiv-na-dumtsi/</w:t>
        </w:r>
      </w:hyperlink>
      <w:r w:rsidR="003D6698" w:rsidRPr="00FE54B1">
        <w:rPr>
          <w:lang w:val="uk-UA"/>
        </w:rPr>
        <w:t xml:space="preserve"> </w:t>
      </w:r>
    </w:p>
    <w:p w:rsidR="003D6698" w:rsidRPr="00FE54B1" w:rsidRDefault="003D6698" w:rsidP="004455C8">
      <w:pPr>
        <w:spacing w:line="276" w:lineRule="auto"/>
        <w:rPr>
          <w:lang w:val="uk-UA"/>
        </w:rPr>
      </w:pPr>
    </w:p>
    <w:p w:rsidR="003D6698" w:rsidRPr="00FE54B1" w:rsidRDefault="003D6698" w:rsidP="004455C8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3D6698" w:rsidRPr="00FE54B1" w:rsidTr="00277D32">
        <w:tc>
          <w:tcPr>
            <w:tcW w:w="1155" w:type="dxa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3D6698" w:rsidRPr="00FE54B1" w:rsidTr="00277D32">
        <w:tc>
          <w:tcPr>
            <w:tcW w:w="1155" w:type="dxa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3D6698" w:rsidRPr="00FE54B1" w:rsidTr="00277D32">
        <w:tc>
          <w:tcPr>
            <w:tcW w:w="1155" w:type="dxa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3D6698" w:rsidRPr="00FE54B1" w:rsidTr="00277D32">
        <w:tc>
          <w:tcPr>
            <w:tcW w:w="1155" w:type="dxa"/>
          </w:tcPr>
          <w:p w:rsidR="003D6698" w:rsidRPr="00E8616E" w:rsidRDefault="003D6698" w:rsidP="00277D32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3D6698" w:rsidRPr="00FE54B1" w:rsidTr="00277D32">
        <w:tc>
          <w:tcPr>
            <w:tcW w:w="1155" w:type="dxa"/>
            <w:tcBorders>
              <w:bottom w:val="double" w:sz="4" w:space="0" w:color="auto"/>
            </w:tcBorders>
          </w:tcPr>
          <w:p w:rsidR="003D6698" w:rsidRPr="00E8616E" w:rsidRDefault="003D6698" w:rsidP="00277D32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</w:tr>
      <w:tr w:rsidR="003D6698" w:rsidRPr="00FE54B1" w:rsidTr="00277D32"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3D6698" w:rsidRPr="00E8616E" w:rsidRDefault="003D6698" w:rsidP="00277D32">
            <w:pPr>
              <w:pStyle w:val="a4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  <w:bottom w:val="double" w:sz="4" w:space="0" w:color="auto"/>
            </w:tcBorders>
          </w:tcPr>
          <w:p w:rsidR="003D6698" w:rsidRPr="00E8616E" w:rsidRDefault="003D6698" w:rsidP="00277D32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  <w:tr w:rsidR="003D6698" w:rsidRPr="00FE54B1" w:rsidTr="00277D32">
        <w:tc>
          <w:tcPr>
            <w:tcW w:w="1155" w:type="dxa"/>
            <w:tcBorders>
              <w:top w:val="double" w:sz="4" w:space="0" w:color="auto"/>
            </w:tcBorders>
          </w:tcPr>
          <w:p w:rsidR="003D6698" w:rsidRPr="00E8616E" w:rsidRDefault="003D6698" w:rsidP="00277D32">
            <w:pPr>
              <w:pStyle w:val="a4"/>
              <w:spacing w:line="240" w:lineRule="auto"/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3D6698" w:rsidRPr="00E8616E" w:rsidRDefault="003D6698" w:rsidP="00277D32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3D6698" w:rsidRPr="00E8616E" w:rsidRDefault="003D6698" w:rsidP="00277D32">
            <w:pPr>
              <w:rPr>
                <w:lang w:val="uk-UA"/>
              </w:rPr>
            </w:pPr>
          </w:p>
        </w:tc>
      </w:tr>
    </w:tbl>
    <w:p w:rsidR="003D6698" w:rsidRPr="00FE54B1" w:rsidRDefault="003D6698" w:rsidP="004455C8">
      <w:pPr>
        <w:rPr>
          <w:b/>
          <w:lang w:val="uk-UA"/>
        </w:rPr>
      </w:pPr>
    </w:p>
    <w:p w:rsidR="003D6698" w:rsidRDefault="003D6698" w:rsidP="004455C8">
      <w:pPr>
        <w:spacing w:after="120"/>
        <w:rPr>
          <w:b/>
          <w:lang w:val="uk-UA"/>
        </w:rPr>
      </w:pPr>
    </w:p>
    <w:p w:rsidR="003D6698" w:rsidRPr="00FE54B1" w:rsidRDefault="003D6698" w:rsidP="004455C8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3D6698" w:rsidRPr="00FE54B1" w:rsidTr="00277D32">
        <w:tc>
          <w:tcPr>
            <w:tcW w:w="2660" w:type="dxa"/>
            <w:gridSpan w:val="3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3D6698" w:rsidRPr="00FE54B1" w:rsidTr="00277D32">
        <w:tc>
          <w:tcPr>
            <w:tcW w:w="676" w:type="dxa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3D6698" w:rsidRPr="00E8616E" w:rsidRDefault="003D6698" w:rsidP="00277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6698" w:rsidRPr="00FE54B1" w:rsidTr="00277D32">
        <w:trPr>
          <w:trHeight w:val="218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3D6698" w:rsidRPr="00FE54B1" w:rsidTr="00277D32">
        <w:trPr>
          <w:trHeight w:val="285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3D6698" w:rsidRPr="00FE54B1" w:rsidTr="00277D32">
        <w:trPr>
          <w:trHeight w:val="224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Аспірант в повному обсязі опанував матеріал теми, подача акуратна, без помилок </w:t>
            </w:r>
          </w:p>
        </w:tc>
      </w:tr>
      <w:tr w:rsidR="003D6698" w:rsidRPr="00FE54B1" w:rsidTr="00277D32">
        <w:trPr>
          <w:trHeight w:val="201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3D6698" w:rsidRPr="00FE54B1" w:rsidTr="00277D32">
        <w:trPr>
          <w:trHeight w:val="251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3D6698" w:rsidRPr="00FE54B1" w:rsidTr="00277D32">
        <w:trPr>
          <w:trHeight w:val="234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E8616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3D6698" w:rsidRPr="004F64B4" w:rsidTr="00277D32">
        <w:trPr>
          <w:trHeight w:val="268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lastRenderedPageBreak/>
              <w:t>Е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E8616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3D6698" w:rsidRPr="00FE54B1" w:rsidTr="00277D32">
        <w:trPr>
          <w:trHeight w:val="301"/>
        </w:trPr>
        <w:tc>
          <w:tcPr>
            <w:tcW w:w="676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3D6698" w:rsidRPr="00E8616E" w:rsidRDefault="003D6698" w:rsidP="00277D32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3D6698" w:rsidRPr="00FE54B1" w:rsidRDefault="003D6698" w:rsidP="004455C8">
      <w:pPr>
        <w:spacing w:before="120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3D6698" w:rsidRPr="000C520C" w:rsidRDefault="003D6698" w:rsidP="004455C8">
      <w:pPr>
        <w:spacing w:line="276" w:lineRule="auto"/>
        <w:jc w:val="both"/>
        <w:rPr>
          <w:color w:val="FF0000"/>
          <w:lang w:val="uk-UA"/>
        </w:rPr>
      </w:pPr>
      <w:r w:rsidRPr="000C520C">
        <w:rPr>
          <w:color w:val="FF0000"/>
          <w:lang w:val="uk-UA"/>
        </w:rPr>
        <w:t>Передбачено додаткові бали за активність аспіранта під час семінарських занять (3),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3D6698" w:rsidRPr="00FE54B1" w:rsidRDefault="003D6698" w:rsidP="004455C8">
      <w:pPr>
        <w:spacing w:line="276" w:lineRule="auto"/>
        <w:rPr>
          <w:lang w:val="uk-UA"/>
        </w:rPr>
      </w:pPr>
    </w:p>
    <w:p w:rsidR="003D6698" w:rsidRPr="00FE54B1" w:rsidRDefault="003D6698" w:rsidP="004455C8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3D6698" w:rsidRPr="00FE54B1" w:rsidRDefault="003D6698" w:rsidP="004455C8">
      <w:pPr>
        <w:spacing w:after="120" w:line="276" w:lineRule="auto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3D6698" w:rsidRDefault="003D6698" w:rsidP="004455C8">
      <w:pPr>
        <w:jc w:val="both"/>
      </w:pPr>
      <w:r>
        <w:t xml:space="preserve">1.  Алексеев-Алюрви Ю. Краски старых мастеров от античности до конца XX в. / Ю.В. Алексеев-Алюрви. – М., 2000. </w:t>
      </w:r>
    </w:p>
    <w:p w:rsidR="003D6698" w:rsidRDefault="003D6698" w:rsidP="004455C8">
      <w:pPr>
        <w:jc w:val="both"/>
      </w:pPr>
      <w:r>
        <w:t>2.  Алексеев-Алюрви Ю. Красочное сырье и краски, используемые в живописи. Анализ и описание природного минерального и органического сырья, рецепты приготовления красок. / Ю.В. Алексеев-Алюрви. – М: Грааль, 2000.</w:t>
      </w:r>
    </w:p>
    <w:p w:rsidR="003D6698" w:rsidRDefault="003D6698" w:rsidP="004455C8">
      <w:pPr>
        <w:jc w:val="both"/>
      </w:pPr>
      <w:r>
        <w:t xml:space="preserve">темперной живописи. Ч. 1. Темпера, основания и грунты. / А.В, Виннер. –  М-Л.: Искусство, 1948. </w:t>
      </w:r>
    </w:p>
    <w:p w:rsidR="003D6698" w:rsidRDefault="003D6698" w:rsidP="004455C8">
      <w:pPr>
        <w:jc w:val="both"/>
      </w:pPr>
      <w:r>
        <w:rPr>
          <w:lang w:val="uk-UA"/>
        </w:rPr>
        <w:t>3</w:t>
      </w:r>
      <w:r>
        <w:t xml:space="preserve">. Виннер А. Фресковая и темперная живопись. Вып. 3. Материалы и техника станковой темперной живописи. Ч. 2. Краски, высыхание красок темперы. / А.В, Виннер. –  М-Л.: Искусство, 1948. </w:t>
      </w:r>
    </w:p>
    <w:p w:rsidR="003D6698" w:rsidRDefault="003D6698" w:rsidP="004455C8">
      <w:pPr>
        <w:jc w:val="both"/>
      </w:pPr>
    </w:p>
    <w:p w:rsidR="003D6698" w:rsidRDefault="003D6698"/>
    <w:sectPr w:rsidR="003D6698" w:rsidSect="00E23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F2" w:rsidRDefault="004230F2">
      <w:r>
        <w:separator/>
      </w:r>
    </w:p>
  </w:endnote>
  <w:endnote w:type="continuationSeparator" w:id="0">
    <w:p w:rsidR="004230F2" w:rsidRDefault="0042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3D66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F45EFA">
    <w:pPr>
      <w:pStyle w:val="a6"/>
      <w:jc w:val="center"/>
    </w:pPr>
    <w:fldSimple w:instr="PAGE   \* MERGEFORMAT">
      <w:r w:rsidR="002E301B">
        <w:rPr>
          <w:noProof/>
        </w:rPr>
        <w:t>1</w:t>
      </w:r>
    </w:fldSimple>
  </w:p>
  <w:p w:rsidR="003D6698" w:rsidRDefault="003D66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3D66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F2" w:rsidRDefault="004230F2">
      <w:r>
        <w:separator/>
      </w:r>
    </w:p>
  </w:footnote>
  <w:footnote w:type="continuationSeparator" w:id="0">
    <w:p w:rsidR="004230F2" w:rsidRDefault="0042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3D66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3D6698" w:rsidP="002A0017">
    <w:pPr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  <w:t xml:space="preserve">                                                                                            Копіювання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3D6698" w:rsidRPr="00B17991" w:rsidRDefault="003D6698" w:rsidP="00710F58">
    <w:pPr>
      <w:jc w:val="right"/>
      <w:rPr>
        <w:sz w:val="18"/>
        <w:szCs w:val="1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3D66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6F5"/>
    <w:multiLevelType w:val="hybridMultilevel"/>
    <w:tmpl w:val="4FE21FE4"/>
    <w:lvl w:ilvl="0" w:tplc="F4F04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48"/>
    <w:rsid w:val="0004113C"/>
    <w:rsid w:val="000C520C"/>
    <w:rsid w:val="000D1FDB"/>
    <w:rsid w:val="0010529D"/>
    <w:rsid w:val="00163A31"/>
    <w:rsid w:val="00182CAB"/>
    <w:rsid w:val="001F22A9"/>
    <w:rsid w:val="00263B2B"/>
    <w:rsid w:val="00277D32"/>
    <w:rsid w:val="00281FC8"/>
    <w:rsid w:val="002A0017"/>
    <w:rsid w:val="002E301B"/>
    <w:rsid w:val="002E3633"/>
    <w:rsid w:val="003D6698"/>
    <w:rsid w:val="004230F2"/>
    <w:rsid w:val="004455C8"/>
    <w:rsid w:val="004F64B4"/>
    <w:rsid w:val="00504CCB"/>
    <w:rsid w:val="006D3566"/>
    <w:rsid w:val="00710F58"/>
    <w:rsid w:val="007422FF"/>
    <w:rsid w:val="00760E20"/>
    <w:rsid w:val="007656AD"/>
    <w:rsid w:val="007E2121"/>
    <w:rsid w:val="00872FD7"/>
    <w:rsid w:val="00956652"/>
    <w:rsid w:val="009B6943"/>
    <w:rsid w:val="00A26FF7"/>
    <w:rsid w:val="00A61F85"/>
    <w:rsid w:val="00B17991"/>
    <w:rsid w:val="00B33BD1"/>
    <w:rsid w:val="00C21DF5"/>
    <w:rsid w:val="00C41494"/>
    <w:rsid w:val="00C43F6E"/>
    <w:rsid w:val="00C451A2"/>
    <w:rsid w:val="00C87B69"/>
    <w:rsid w:val="00CC5231"/>
    <w:rsid w:val="00D26D18"/>
    <w:rsid w:val="00D33778"/>
    <w:rsid w:val="00D874F8"/>
    <w:rsid w:val="00DA6338"/>
    <w:rsid w:val="00E23C0F"/>
    <w:rsid w:val="00E8616E"/>
    <w:rsid w:val="00F45EFA"/>
    <w:rsid w:val="00FE54B1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55C8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uiPriority w:val="99"/>
    <w:rsid w:val="004455C8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455C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455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455C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10529D"/>
    <w:pPr>
      <w:ind w:left="720"/>
      <w:contextualSpacing/>
    </w:pPr>
  </w:style>
  <w:style w:type="paragraph" w:styleId="a9">
    <w:name w:val="header"/>
    <w:basedOn w:val="a"/>
    <w:link w:val="aa"/>
    <w:uiPriority w:val="99"/>
    <w:rsid w:val="002A0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2CA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6352</Characters>
  <Application>Microsoft Office Word</Application>
  <DocSecurity>0</DocSecurity>
  <Lines>52</Lines>
  <Paragraphs>14</Paragraphs>
  <ScaleCrop>false</ScaleCrop>
  <Company>Home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GIZ 25</cp:lastModifiedBy>
  <cp:revision>2</cp:revision>
  <dcterms:created xsi:type="dcterms:W3CDTF">2020-11-25T10:12:00Z</dcterms:created>
  <dcterms:modified xsi:type="dcterms:W3CDTF">2020-11-25T10:12:00Z</dcterms:modified>
</cp:coreProperties>
</file>